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仿宋" w:eastAsia="仿宋" w:cs="Times New Roman"/>
          <w:sz w:val="32"/>
          <w:szCs w:val="32"/>
        </w:rPr>
        <w:t>日下午14:30。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3.领用单电子稿在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仿宋" w:eastAsia="仿宋" w:cs="Times New Roman"/>
          <w:sz w:val="32"/>
          <w:szCs w:val="32"/>
        </w:rPr>
        <w:t>日11:00之前提交到管理员浙政钉；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4.领用单纸质稿签字盖章后于领用当天提交给管理员。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A682060"/>
    <w:rsid w:val="13467951"/>
    <w:rsid w:val="1CC86403"/>
    <w:rsid w:val="1D631052"/>
    <w:rsid w:val="1ED72462"/>
    <w:rsid w:val="20FC237E"/>
    <w:rsid w:val="3D4B6D60"/>
    <w:rsid w:val="42752735"/>
    <w:rsid w:val="500375EA"/>
    <w:rsid w:val="50FB4785"/>
    <w:rsid w:val="534C6870"/>
    <w:rsid w:val="53DC7C28"/>
    <w:rsid w:val="5A501107"/>
    <w:rsid w:val="6B185E7D"/>
    <w:rsid w:val="6C224890"/>
    <w:rsid w:val="7861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272</Words>
  <Characters>298</Characters>
  <Lines>2</Lines>
  <Paragraphs>1</Paragraphs>
  <TotalTime>810</TotalTime>
  <ScaleCrop>false</ScaleCrop>
  <LinksUpToDate>false</LinksUpToDate>
  <CharactersWithSpaces>368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2022-06-08T08:35:44Z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7F1CB24F9B2E4EDBBC93EEB165A758F4</vt:lpwstr>
  </property>
</Properties>
</file>